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0BF14" w14:textId="20B41F6C" w:rsidR="00230FE1" w:rsidRDefault="00230FE1" w:rsidP="00230FE1">
      <w:bookmarkStart w:id="0" w:name="_GoBack"/>
      <w:bookmarkEnd w:id="0"/>
      <w:r>
        <w:t xml:space="preserve">                  </w:t>
      </w:r>
      <w:r w:rsidR="00E62107">
        <w:t xml:space="preserve">         </w:t>
      </w:r>
      <w:r>
        <w:t xml:space="preserve">                      </w:t>
      </w:r>
      <w:r w:rsidRPr="009B60A3">
        <w:rPr>
          <w:noProof/>
        </w:rPr>
        <w:drawing>
          <wp:inline distT="0" distB="0" distL="0" distR="0" wp14:anchorId="1205DBFD" wp14:editId="05D53C33">
            <wp:extent cx="1648460" cy="781050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5" t="38847" r="27054" b="26316"/>
                    <a:stretch/>
                  </pic:blipFill>
                  <pic:spPr>
                    <a:xfrm>
                      <a:off x="0" y="0"/>
                      <a:ext cx="1680125" cy="79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</w:p>
    <w:p w14:paraId="3A3F33B7" w14:textId="77777777" w:rsidR="00230FE1" w:rsidRDefault="00230FE1" w:rsidP="00237476">
      <w:pPr>
        <w:rPr>
          <w:rFonts w:ascii="Calibri" w:hAnsi="Calibri"/>
          <w:sz w:val="22"/>
          <w:szCs w:val="22"/>
        </w:rPr>
      </w:pPr>
    </w:p>
    <w:p w14:paraId="2FFF65D3" w14:textId="73774B8A" w:rsidR="001D7BC3" w:rsidRPr="0046236E" w:rsidRDefault="0046236E" w:rsidP="00237476">
      <w:pPr>
        <w:rPr>
          <w:rFonts w:ascii="Calibri" w:hAnsi="Calibri"/>
          <w:b/>
          <w:sz w:val="22"/>
          <w:szCs w:val="22"/>
        </w:rPr>
      </w:pPr>
      <w:r w:rsidRPr="0046236E">
        <w:rPr>
          <w:rFonts w:ascii="Calibri" w:hAnsi="Calibri"/>
          <w:b/>
          <w:sz w:val="22"/>
          <w:szCs w:val="22"/>
        </w:rPr>
        <w:t>For immediate release</w:t>
      </w:r>
    </w:p>
    <w:p w14:paraId="655E7339" w14:textId="2B988617" w:rsidR="0046236E" w:rsidRPr="0046236E" w:rsidRDefault="0046236E" w:rsidP="0023747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For more information </w:t>
      </w:r>
      <w:r w:rsidR="00EF192E">
        <w:rPr>
          <w:rFonts w:ascii="Calibri" w:hAnsi="Calibri"/>
          <w:b/>
          <w:sz w:val="22"/>
          <w:szCs w:val="22"/>
        </w:rPr>
        <w:t>contact Doug Peterson at</w:t>
      </w:r>
      <w:r w:rsidRPr="0046236E">
        <w:rPr>
          <w:rFonts w:ascii="Calibri" w:hAnsi="Calibri"/>
          <w:b/>
          <w:sz w:val="22"/>
          <w:szCs w:val="22"/>
        </w:rPr>
        <w:t xml:space="preserve"> 281.782.2721</w:t>
      </w:r>
    </w:p>
    <w:p w14:paraId="4299D44F" w14:textId="77777777" w:rsidR="0046236E" w:rsidRDefault="0046236E" w:rsidP="00237476">
      <w:pPr>
        <w:rPr>
          <w:rFonts w:ascii="Calibri" w:hAnsi="Calibri"/>
          <w:sz w:val="22"/>
          <w:szCs w:val="22"/>
        </w:rPr>
      </w:pPr>
    </w:p>
    <w:p w14:paraId="4732BBE2" w14:textId="777FDEF1" w:rsidR="008F178C" w:rsidRPr="008D23BA" w:rsidRDefault="0020013F" w:rsidP="00237476">
      <w:pPr>
        <w:rPr>
          <w:rFonts w:ascii="Calibri" w:hAnsi="Calibri"/>
          <w:b/>
          <w:color w:val="000000" w:themeColor="text1"/>
          <w:sz w:val="26"/>
          <w:szCs w:val="26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Exploration Green </w:t>
      </w:r>
      <w:r w:rsidR="00612341">
        <w:rPr>
          <w:rFonts w:ascii="Calibri" w:hAnsi="Calibri"/>
          <w:b/>
          <w:color w:val="000000" w:themeColor="text1"/>
          <w:sz w:val="22"/>
          <w:szCs w:val="22"/>
        </w:rPr>
        <w:t>Protected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 from Commercial Development Forever!</w:t>
      </w:r>
    </w:p>
    <w:p w14:paraId="6C44D00C" w14:textId="77777777" w:rsidR="009228C2" w:rsidRPr="008D23BA" w:rsidRDefault="009228C2" w:rsidP="00237476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A0CEA49" w14:textId="7BF98488" w:rsidR="006B1251" w:rsidRPr="008D23BA" w:rsidRDefault="0020013F" w:rsidP="00237476">
      <w:pPr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After </w:t>
      </w:r>
      <w:r w:rsid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nearly a decade of working </w:t>
      </w:r>
      <w:r w:rsidR="00AC2146">
        <w:rPr>
          <w:rFonts w:asciiTheme="minorHAnsi" w:hAnsiTheme="minorHAnsi" w:cs="Helvetica"/>
          <w:color w:val="000000" w:themeColor="text1"/>
          <w:sz w:val="22"/>
          <w:szCs w:val="22"/>
        </w:rPr>
        <w:t>to fulfill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 a vision of a </w:t>
      </w:r>
      <w:r w:rsidR="00AC2146">
        <w:rPr>
          <w:rFonts w:asciiTheme="minorHAnsi" w:hAnsiTheme="minorHAnsi" w:cs="Helvetica"/>
          <w:color w:val="000000" w:themeColor="text1"/>
          <w:sz w:val="22"/>
          <w:szCs w:val="22"/>
        </w:rPr>
        <w:t xml:space="preserve">Clear Lake 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>public green space to alleviate flooding, foster nature conservation</w:t>
      </w:r>
      <w:r w:rsidR="00A61B48">
        <w:rPr>
          <w:rFonts w:asciiTheme="minorHAnsi" w:hAnsiTheme="minorHAnsi" w:cs="Helvetica"/>
          <w:color w:val="000000" w:themeColor="text1"/>
          <w:sz w:val="22"/>
          <w:szCs w:val="22"/>
        </w:rPr>
        <w:t>, clean run-off water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 and provide</w:t>
      </w:r>
      <w:r w:rsidR="00AC2146">
        <w:rPr>
          <w:rFonts w:asciiTheme="minorHAnsi" w:hAnsiTheme="minorHAnsi" w:cs="Helvetica"/>
          <w:color w:val="000000" w:themeColor="text1"/>
          <w:sz w:val="22"/>
          <w:szCs w:val="22"/>
        </w:rPr>
        <w:t xml:space="preserve"> recreation</w:t>
      </w:r>
      <w:r w:rsidR="00A61B48">
        <w:rPr>
          <w:rFonts w:asciiTheme="minorHAnsi" w:hAnsiTheme="minorHAnsi" w:cs="Helvetica"/>
          <w:color w:val="000000" w:themeColor="text1"/>
          <w:sz w:val="22"/>
          <w:szCs w:val="22"/>
        </w:rPr>
        <w:t xml:space="preserve"> opportunities</w:t>
      </w:r>
      <w:r w:rsidR="00AC2146">
        <w:rPr>
          <w:rFonts w:asciiTheme="minorHAnsi" w:hAnsiTheme="minorHAnsi" w:cs="Helvetica"/>
          <w:color w:val="000000" w:themeColor="text1"/>
          <w:sz w:val="22"/>
          <w:szCs w:val="22"/>
        </w:rPr>
        <w:t>,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 the Clear Lake City Water Authority</w:t>
      </w:r>
      <w:r w:rsidR="00285B4B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="00A61B48">
        <w:rPr>
          <w:rFonts w:asciiTheme="minorHAnsi" w:hAnsiTheme="minorHAnsi" w:cs="Helvetica"/>
          <w:color w:val="000000" w:themeColor="text1"/>
          <w:sz w:val="22"/>
          <w:szCs w:val="22"/>
        </w:rPr>
        <w:t>has</w:t>
      </w:r>
      <w:r w:rsidR="00DB43E8">
        <w:rPr>
          <w:rFonts w:asciiTheme="minorHAnsi" w:hAnsiTheme="minorHAnsi" w:cs="Helvetica"/>
          <w:color w:val="000000" w:themeColor="text1"/>
          <w:sz w:val="22"/>
          <w:szCs w:val="22"/>
        </w:rPr>
        <w:t xml:space="preserve"> signed a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="00A61B48">
        <w:rPr>
          <w:rFonts w:asciiTheme="minorHAnsi" w:hAnsiTheme="minorHAnsi" w:cs="Helvetica"/>
          <w:color w:val="000000" w:themeColor="text1"/>
          <w:sz w:val="22"/>
          <w:szCs w:val="22"/>
        </w:rPr>
        <w:t>C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onservation </w:t>
      </w:r>
      <w:r w:rsidR="00A61B48">
        <w:rPr>
          <w:rFonts w:asciiTheme="minorHAnsi" w:hAnsiTheme="minorHAnsi" w:cs="Helvetica"/>
          <w:color w:val="000000" w:themeColor="text1"/>
          <w:sz w:val="22"/>
          <w:szCs w:val="22"/>
        </w:rPr>
        <w:t>E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asement agreement with the Galveston Bay Foundation to </w:t>
      </w:r>
      <w:r w:rsid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conserve and 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protect </w:t>
      </w:r>
      <w:r w:rsid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the </w:t>
      </w:r>
      <w:r w:rsidR="00AC2146">
        <w:rPr>
          <w:rFonts w:asciiTheme="minorHAnsi" w:hAnsiTheme="minorHAnsi" w:cs="Helvetica"/>
          <w:color w:val="000000" w:themeColor="text1"/>
          <w:sz w:val="22"/>
          <w:szCs w:val="22"/>
        </w:rPr>
        <w:t>nearly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 200 acres </w:t>
      </w:r>
      <w:r w:rsid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of the Exploration Green 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>from commercial development in perpetuity. That means forever.</w:t>
      </w:r>
    </w:p>
    <w:p w14:paraId="596429B7" w14:textId="77777777" w:rsidR="006B1251" w:rsidRPr="008D23BA" w:rsidRDefault="006B1251" w:rsidP="00237476">
      <w:pPr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3F4ADCE7" w14:textId="73381CBA" w:rsidR="00487B09" w:rsidRPr="00234739" w:rsidRDefault="00DB43E8" w:rsidP="00237476">
      <w:pPr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Working with</w:t>
      </w:r>
      <w:r w:rsidR="00612341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Keep Green Spaces Green grassroots efforts, </w:t>
      </w:r>
      <w:r w:rsidR="00D95339">
        <w:rPr>
          <w:rFonts w:asciiTheme="minorHAnsi" w:hAnsiTheme="minorHAnsi" w:cs="Helvetica"/>
          <w:color w:val="000000" w:themeColor="text1"/>
          <w:sz w:val="22"/>
          <w:szCs w:val="22"/>
        </w:rPr>
        <w:t>through</w:t>
      </w:r>
      <w:r w:rsidR="00AC2146">
        <w:rPr>
          <w:rFonts w:asciiTheme="minorHAnsi" w:hAnsiTheme="minorHAnsi" w:cs="Helvetica"/>
          <w:color w:val="000000" w:themeColor="text1"/>
          <w:sz w:val="22"/>
          <w:szCs w:val="22"/>
        </w:rPr>
        <w:t xml:space="preserve"> it all, </w:t>
      </w:r>
      <w:r w:rsidR="00612341" w:rsidRPr="00234739">
        <w:rPr>
          <w:rFonts w:asciiTheme="minorHAnsi" w:hAnsiTheme="minorHAnsi" w:cs="Helvetica"/>
          <w:color w:val="000000" w:themeColor="text1"/>
          <w:sz w:val="22"/>
          <w:szCs w:val="22"/>
        </w:rPr>
        <w:t>the CLCWA leadership has supported the interests of residents</w:t>
      </w:r>
      <w:r w:rsidR="00AC2146">
        <w:rPr>
          <w:rFonts w:asciiTheme="minorHAnsi" w:hAnsiTheme="minorHAnsi" w:cs="Helvetica"/>
          <w:color w:val="000000" w:themeColor="text1"/>
          <w:sz w:val="22"/>
          <w:szCs w:val="22"/>
        </w:rPr>
        <w:t>, worked with</w:t>
      </w:r>
      <w:r w:rsidR="00AC2146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grassroots</w:t>
      </w:r>
      <w:r w:rsidR="00612341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="00A61B48">
        <w:rPr>
          <w:rFonts w:asciiTheme="minorHAnsi" w:hAnsiTheme="minorHAnsi" w:cs="Helvetica"/>
          <w:color w:val="000000" w:themeColor="text1"/>
          <w:sz w:val="22"/>
          <w:szCs w:val="22"/>
        </w:rPr>
        <w:t xml:space="preserve">neighborhood groups </w:t>
      </w:r>
      <w:r w:rsidR="00612341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and </w:t>
      </w:r>
      <w:r w:rsidR="00D87F59">
        <w:rPr>
          <w:rFonts w:asciiTheme="minorHAnsi" w:hAnsiTheme="minorHAnsi" w:cs="Helvetica"/>
          <w:color w:val="000000" w:themeColor="text1"/>
          <w:sz w:val="22"/>
          <w:szCs w:val="22"/>
        </w:rPr>
        <w:t xml:space="preserve">actively </w:t>
      </w:r>
      <w:r w:rsidR="00612341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opposed 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>proposals</w:t>
      </w:r>
      <w:r w:rsidR="00612341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="00234739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to </w:t>
      </w:r>
      <w:r w:rsidR="00D87F59">
        <w:rPr>
          <w:rFonts w:asciiTheme="minorHAnsi" w:hAnsiTheme="minorHAnsi" w:cs="Helvetica"/>
          <w:color w:val="000000" w:themeColor="text1"/>
          <w:sz w:val="22"/>
          <w:szCs w:val="22"/>
        </w:rPr>
        <w:t xml:space="preserve">build </w:t>
      </w:r>
      <w:r w:rsidR="00612341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highly concentrated </w:t>
      </w:r>
      <w:r w:rsidR="00234739" w:rsidRPr="00234739">
        <w:rPr>
          <w:rFonts w:asciiTheme="minorHAnsi" w:hAnsiTheme="minorHAnsi" w:cs="Helvetica"/>
          <w:color w:val="000000" w:themeColor="text1"/>
          <w:sz w:val="22"/>
          <w:szCs w:val="22"/>
        </w:rPr>
        <w:t>residential condos</w:t>
      </w:r>
      <w:r w:rsidR="00612341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behind the homes </w:t>
      </w:r>
      <w:r w:rsidR="00D87F59">
        <w:rPr>
          <w:rFonts w:asciiTheme="minorHAnsi" w:hAnsiTheme="minorHAnsi" w:cs="Helvetica"/>
          <w:color w:val="000000" w:themeColor="text1"/>
          <w:sz w:val="22"/>
          <w:szCs w:val="22"/>
        </w:rPr>
        <w:t>ringing</w:t>
      </w:r>
      <w:r w:rsidR="00612341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the old Clear Lake City golf course. While some politicians and developers fought in court and even </w:t>
      </w:r>
      <w:r w:rsidR="00234739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at </w:t>
      </w:r>
      <w:r w:rsidR="00612341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the state house to open the area for commercial development, the CLCWA board kept their eyes on the prize no matter </w:t>
      </w:r>
      <w:r w:rsidR="00AC2146">
        <w:rPr>
          <w:rFonts w:asciiTheme="minorHAnsi" w:hAnsiTheme="minorHAnsi" w:cs="Helvetica"/>
          <w:color w:val="000000" w:themeColor="text1"/>
          <w:sz w:val="22"/>
          <w:szCs w:val="22"/>
        </w:rPr>
        <w:t>what</w:t>
      </w:r>
      <w:r w:rsidR="00612341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obstacles </w:t>
      </w:r>
      <w:r w:rsidR="00AC2146">
        <w:rPr>
          <w:rFonts w:asciiTheme="minorHAnsi" w:hAnsiTheme="minorHAnsi" w:cs="Helvetica"/>
          <w:color w:val="000000" w:themeColor="text1"/>
          <w:sz w:val="22"/>
          <w:szCs w:val="22"/>
        </w:rPr>
        <w:t xml:space="preserve">were </w:t>
      </w:r>
      <w:r w:rsidR="00612341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laid down in front of the </w:t>
      </w:r>
      <w:r w:rsidR="00234739" w:rsidRPr="00234739">
        <w:rPr>
          <w:rFonts w:asciiTheme="minorHAnsi" w:hAnsiTheme="minorHAnsi" w:cs="Helvetica"/>
          <w:color w:val="000000" w:themeColor="text1"/>
          <w:sz w:val="22"/>
          <w:szCs w:val="22"/>
        </w:rPr>
        <w:t>initiative</w:t>
      </w:r>
      <w:r w:rsidR="00612341" w:rsidRPr="00234739">
        <w:rPr>
          <w:rFonts w:asciiTheme="minorHAnsi" w:hAnsiTheme="minorHAnsi" w:cs="Helvetica"/>
          <w:color w:val="000000" w:themeColor="text1"/>
          <w:sz w:val="22"/>
          <w:szCs w:val="22"/>
        </w:rPr>
        <w:t>.</w:t>
      </w:r>
    </w:p>
    <w:p w14:paraId="1C0EBD93" w14:textId="77777777" w:rsidR="000D2417" w:rsidRPr="00234739" w:rsidRDefault="000D2417" w:rsidP="00237476">
      <w:pPr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7C8B6466" w14:textId="6C6BA5DF" w:rsidR="000D2417" w:rsidRPr="00234739" w:rsidRDefault="00A61B48" w:rsidP="00237476">
      <w:p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In 200</w:t>
      </w:r>
      <w:r w:rsidR="00401519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5 Clear Lake residents discovered the plans to turn the golf course into a massive 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>commercial</w:t>
      </w:r>
      <w:r w:rsidR="00401519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development. The people rose up </w:t>
      </w:r>
      <w:r w:rsidR="00702E0C">
        <w:rPr>
          <w:rFonts w:asciiTheme="minorHAnsi" w:hAnsiTheme="minorHAnsi" w:cs="Helvetica"/>
          <w:color w:val="000000" w:themeColor="text1"/>
          <w:sz w:val="22"/>
          <w:szCs w:val="22"/>
        </w:rPr>
        <w:t>and engaged</w:t>
      </w:r>
      <w:r w:rsidR="00401519" w:rsidRPr="00234739">
        <w:rPr>
          <w:rFonts w:asciiTheme="minorHAnsi" w:hAnsiTheme="minorHAnsi" w:cs="Helvetica"/>
          <w:color w:val="000000" w:themeColor="text1"/>
          <w:sz w:val="22"/>
          <w:szCs w:val="22"/>
        </w:rPr>
        <w:t>, som</w:t>
      </w:r>
      <w:r w:rsidR="00441654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e </w:t>
      </w:r>
      <w:r w:rsidR="00401519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4,000 signed </w:t>
      </w:r>
      <w:r w:rsidR="00DB43E8">
        <w:rPr>
          <w:rFonts w:asciiTheme="minorHAnsi" w:hAnsiTheme="minorHAnsi" w:cs="Helvetica"/>
          <w:color w:val="000000" w:themeColor="text1"/>
          <w:sz w:val="22"/>
          <w:szCs w:val="22"/>
        </w:rPr>
        <w:t xml:space="preserve">a </w:t>
      </w:r>
      <w:r w:rsidR="00401519" w:rsidRPr="00234739">
        <w:rPr>
          <w:rFonts w:asciiTheme="minorHAnsi" w:hAnsiTheme="minorHAnsi" w:cs="Helvetica"/>
          <w:color w:val="000000" w:themeColor="text1"/>
          <w:sz w:val="22"/>
          <w:szCs w:val="22"/>
        </w:rPr>
        <w:t>petition against the commercial development, and “Keep Green Spaces Green”</w:t>
      </w:r>
      <w:r w:rsidR="00441654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signs were everywhere</w:t>
      </w:r>
      <w:r w:rsidR="00401519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. </w:t>
      </w:r>
      <w:r w:rsidR="00441654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Organizations such as the Clear Lake Civic League and Clear Lake City Green Space Preservation Committee </w:t>
      </w:r>
      <w:r w:rsidR="00AC2146">
        <w:rPr>
          <w:rFonts w:asciiTheme="minorHAnsi" w:hAnsiTheme="minorHAnsi" w:cs="Helvetica"/>
          <w:color w:val="000000" w:themeColor="text1"/>
          <w:sz w:val="22"/>
          <w:szCs w:val="22"/>
        </w:rPr>
        <w:t>focused</w:t>
      </w:r>
      <w:r w:rsidR="00441654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the grass roots organizing while CLCWA fought in court </w:t>
      </w:r>
      <w:r w:rsidR="00401519" w:rsidRPr="00234739">
        <w:rPr>
          <w:rFonts w:asciiTheme="minorHAnsi" w:hAnsiTheme="minorHAnsi" w:cs="Helvetica"/>
          <w:color w:val="000000" w:themeColor="text1"/>
          <w:sz w:val="22"/>
          <w:szCs w:val="22"/>
        </w:rPr>
        <w:t>to condemn the property</w:t>
      </w:r>
      <w:r w:rsidR="00441654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with the water authority</w:t>
      </w:r>
      <w:r w:rsidR="00401519" w:rsidRPr="00234739">
        <w:rPr>
          <w:rFonts w:asciiTheme="minorHAnsi" w:hAnsiTheme="minorHAnsi"/>
          <w:color w:val="000000"/>
          <w:sz w:val="22"/>
          <w:szCs w:val="22"/>
          <w:lang w:val="en"/>
        </w:rPr>
        <w:t xml:space="preserve"> arguing that more </w:t>
      </w:r>
      <w:r>
        <w:rPr>
          <w:rFonts w:asciiTheme="minorHAnsi" w:hAnsiTheme="minorHAnsi"/>
          <w:color w:val="000000"/>
          <w:sz w:val="22"/>
          <w:szCs w:val="22"/>
          <w:lang w:val="en"/>
        </w:rPr>
        <w:t>storm water detention was required</w:t>
      </w:r>
      <w:r w:rsidR="00441654" w:rsidRPr="00234739">
        <w:rPr>
          <w:rFonts w:asciiTheme="minorHAnsi" w:hAnsiTheme="minorHAnsi"/>
          <w:color w:val="000000"/>
          <w:sz w:val="22"/>
          <w:szCs w:val="22"/>
          <w:lang w:val="en"/>
        </w:rPr>
        <w:t>.</w:t>
      </w:r>
      <w:r w:rsidR="00BC2325">
        <w:rPr>
          <w:rFonts w:asciiTheme="minorHAnsi" w:hAnsiTheme="minorHAnsi"/>
          <w:color w:val="000000"/>
          <w:sz w:val="22"/>
          <w:szCs w:val="22"/>
          <w:lang w:val="en"/>
        </w:rPr>
        <w:t xml:space="preserve"> Today we thank all those who worked to make</w:t>
      </w:r>
      <w:r>
        <w:rPr>
          <w:rFonts w:asciiTheme="minorHAnsi" w:hAnsiTheme="minorHAnsi"/>
          <w:color w:val="000000"/>
          <w:sz w:val="22"/>
          <w:szCs w:val="22"/>
          <w:lang w:val="en"/>
        </w:rPr>
        <w:t xml:space="preserve"> to control flooding and make</w:t>
      </w:r>
      <w:r w:rsidR="00BC2325">
        <w:rPr>
          <w:rFonts w:asciiTheme="minorHAnsi" w:hAnsiTheme="minorHAnsi"/>
          <w:color w:val="000000"/>
          <w:sz w:val="22"/>
          <w:szCs w:val="22"/>
          <w:lang w:val="en"/>
        </w:rPr>
        <w:t xml:space="preserve"> “green space green” in Clear Lake.</w:t>
      </w:r>
    </w:p>
    <w:p w14:paraId="1644C5B4" w14:textId="77777777" w:rsidR="00E90021" w:rsidRPr="00234739" w:rsidRDefault="00E90021" w:rsidP="00E90021">
      <w:pPr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24C59E94" w14:textId="58F5C9E8" w:rsidR="00E90021" w:rsidRPr="00234739" w:rsidRDefault="00D87F59" w:rsidP="00E90021">
      <w:pPr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W</w:t>
      </w:r>
      <w:r w:rsidR="00FC473B" w:rsidRPr="00234739">
        <w:rPr>
          <w:rFonts w:asciiTheme="minorHAnsi" w:hAnsiTheme="minorHAnsi" w:cs="Helvetica"/>
          <w:color w:val="000000" w:themeColor="text1"/>
          <w:sz w:val="22"/>
          <w:szCs w:val="22"/>
        </w:rPr>
        <w:t>orking with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 the CLCWA today</w:t>
      </w:r>
      <w:r w:rsidR="00612341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="00FC473B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is </w:t>
      </w:r>
      <w:r w:rsidR="00612341" w:rsidRPr="00234739">
        <w:rPr>
          <w:rFonts w:asciiTheme="minorHAnsi" w:hAnsiTheme="minorHAnsi" w:cs="Helvetica"/>
          <w:color w:val="000000" w:themeColor="text1"/>
          <w:sz w:val="22"/>
          <w:szCs w:val="22"/>
        </w:rPr>
        <w:t>a new non-profit organization, Exp</w:t>
      </w:r>
      <w:r w:rsidR="00FC473B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loration Green Conservancy, </w:t>
      </w:r>
      <w:r w:rsidR="00612341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established to </w:t>
      </w:r>
      <w:r w:rsidR="000D2417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organize and create those parts of </w:t>
      </w:r>
      <w:r w:rsidR="00234739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Exploration Green that are not flood control. </w:t>
      </w:r>
      <w:r w:rsidR="009C3FD5">
        <w:rPr>
          <w:rFonts w:asciiTheme="minorHAnsi" w:hAnsiTheme="minorHAnsi" w:cs="Helvetica"/>
          <w:color w:val="000000" w:themeColor="text1"/>
          <w:sz w:val="22"/>
          <w:szCs w:val="22"/>
        </w:rPr>
        <w:t>With a board of local volunteers, the conservancy</w:t>
      </w:r>
      <w:r w:rsidR="007D6AAE">
        <w:rPr>
          <w:rFonts w:asciiTheme="minorHAnsi" w:hAnsiTheme="minorHAnsi" w:cs="Helvetica"/>
          <w:color w:val="000000" w:themeColor="text1"/>
          <w:sz w:val="22"/>
          <w:szCs w:val="22"/>
        </w:rPr>
        <w:t>, like earlier town hall meetings and volunteer committees,</w:t>
      </w:r>
      <w:r w:rsidR="009C3FD5">
        <w:rPr>
          <w:rFonts w:asciiTheme="minorHAnsi" w:hAnsiTheme="minorHAnsi" w:cs="Helvetica"/>
          <w:color w:val="000000" w:themeColor="text1"/>
          <w:sz w:val="22"/>
          <w:szCs w:val="22"/>
        </w:rPr>
        <w:t xml:space="preserve"> provides an avenue for local residents to participate in planning, organizing, wor</w:t>
      </w:r>
      <w:r w:rsidR="00AC2146">
        <w:rPr>
          <w:rFonts w:asciiTheme="minorHAnsi" w:hAnsiTheme="minorHAnsi" w:cs="Helvetica"/>
          <w:color w:val="000000" w:themeColor="text1"/>
          <w:sz w:val="22"/>
          <w:szCs w:val="22"/>
        </w:rPr>
        <w:t>king with trees, trails and other projects,</w:t>
      </w:r>
      <w:r w:rsidR="009C3FD5">
        <w:rPr>
          <w:rFonts w:asciiTheme="minorHAnsi" w:hAnsiTheme="minorHAnsi" w:cs="Helvetica"/>
          <w:color w:val="000000" w:themeColor="text1"/>
          <w:sz w:val="22"/>
          <w:szCs w:val="22"/>
        </w:rPr>
        <w:t xml:space="preserve"> and maintaining the Green Space. Other partners in addition to Galveston Bay Foundation include Trees For Houston, Texas Coastal Watershed Program, SWA Architecture and </w:t>
      </w:r>
      <w:r w:rsidR="00656267">
        <w:rPr>
          <w:rFonts w:asciiTheme="minorHAnsi" w:hAnsiTheme="minorHAnsi" w:cs="Helvetica"/>
          <w:color w:val="000000" w:themeColor="text1"/>
          <w:sz w:val="22"/>
          <w:szCs w:val="22"/>
        </w:rPr>
        <w:t xml:space="preserve">Lockwood, Andrews and </w:t>
      </w:r>
      <w:r w:rsidR="00DB43E8">
        <w:rPr>
          <w:rFonts w:asciiTheme="minorHAnsi" w:hAnsiTheme="minorHAnsi" w:cs="Helvetica"/>
          <w:color w:val="000000" w:themeColor="text1"/>
          <w:sz w:val="22"/>
          <w:szCs w:val="22"/>
        </w:rPr>
        <w:t>Newnam</w:t>
      </w:r>
      <w:r w:rsidR="00AC2146">
        <w:rPr>
          <w:rFonts w:asciiTheme="minorHAnsi" w:hAnsiTheme="minorHAnsi" w:cs="Helvetica"/>
          <w:color w:val="000000" w:themeColor="text1"/>
          <w:sz w:val="22"/>
          <w:szCs w:val="22"/>
        </w:rPr>
        <w:t>;</w:t>
      </w:r>
      <w:r w:rsidR="00656267">
        <w:rPr>
          <w:rFonts w:asciiTheme="minorHAnsi" w:hAnsiTheme="minorHAnsi" w:cs="Helvetica"/>
          <w:color w:val="000000" w:themeColor="text1"/>
          <w:sz w:val="22"/>
          <w:szCs w:val="22"/>
        </w:rPr>
        <w:t xml:space="preserve"> all </w:t>
      </w:r>
      <w:r w:rsidR="009C3FD5">
        <w:rPr>
          <w:rFonts w:asciiTheme="minorHAnsi" w:hAnsiTheme="minorHAnsi" w:cs="Helvetica"/>
          <w:color w:val="000000" w:themeColor="text1"/>
          <w:sz w:val="22"/>
          <w:szCs w:val="22"/>
        </w:rPr>
        <w:t>key to the success of Exploration Green</w:t>
      </w:r>
      <w:r w:rsidR="00DB43E8">
        <w:rPr>
          <w:rFonts w:asciiTheme="minorHAnsi" w:hAnsiTheme="minorHAnsi" w:cs="Helvetica"/>
          <w:color w:val="000000" w:themeColor="text1"/>
          <w:sz w:val="22"/>
          <w:szCs w:val="22"/>
        </w:rPr>
        <w:t>.</w:t>
      </w:r>
      <w:r w:rsidR="00234739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="00E318B7">
        <w:rPr>
          <w:rFonts w:asciiTheme="minorHAnsi" w:hAnsiTheme="minorHAnsi" w:cs="Helvetica"/>
          <w:color w:val="000000" w:themeColor="text1"/>
          <w:sz w:val="22"/>
          <w:szCs w:val="22"/>
        </w:rPr>
        <w:t xml:space="preserve">The Clear Lake City Water Authority brought them together </w:t>
      </w:r>
      <w:r w:rsidR="00047D30">
        <w:rPr>
          <w:rFonts w:asciiTheme="minorHAnsi" w:hAnsiTheme="minorHAnsi" w:cs="Helvetica"/>
          <w:color w:val="000000" w:themeColor="text1"/>
          <w:sz w:val="22"/>
          <w:szCs w:val="22"/>
        </w:rPr>
        <w:t>to create</w:t>
      </w:r>
      <w:r w:rsidR="00E318B7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="007D6AAE">
        <w:rPr>
          <w:rFonts w:asciiTheme="minorHAnsi" w:hAnsiTheme="minorHAnsi" w:cs="Helvetica"/>
          <w:color w:val="000000" w:themeColor="text1"/>
          <w:sz w:val="22"/>
          <w:szCs w:val="22"/>
        </w:rPr>
        <w:t xml:space="preserve">Clear Lake’s </w:t>
      </w:r>
      <w:r w:rsidR="00E318B7">
        <w:rPr>
          <w:rFonts w:asciiTheme="minorHAnsi" w:hAnsiTheme="minorHAnsi" w:cs="Helvetica"/>
          <w:color w:val="000000" w:themeColor="text1"/>
          <w:sz w:val="22"/>
          <w:szCs w:val="22"/>
        </w:rPr>
        <w:t>Exploration Green.</w:t>
      </w:r>
    </w:p>
    <w:p w14:paraId="4A75CE89" w14:textId="77777777" w:rsidR="004832A8" w:rsidRPr="00234739" w:rsidRDefault="004832A8" w:rsidP="004832A8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4813C08" w14:textId="77777777" w:rsidR="004832A8" w:rsidRDefault="004832A8" w:rsidP="004832A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34739">
        <w:rPr>
          <w:rFonts w:asciiTheme="minorHAnsi" w:hAnsiTheme="minorHAnsi"/>
          <w:color w:val="000000" w:themeColor="text1"/>
          <w:sz w:val="22"/>
          <w:szCs w:val="22"/>
        </w:rPr>
        <w:t>“</w:t>
      </w:r>
      <w:r>
        <w:rPr>
          <w:rFonts w:asciiTheme="minorHAnsi" w:hAnsiTheme="minorHAnsi"/>
          <w:color w:val="000000" w:themeColor="text1"/>
          <w:sz w:val="22"/>
          <w:szCs w:val="22"/>
        </w:rPr>
        <w:t>We all owe a huge debt of gratitude to leaders of the Water Authority, especially Bob Savely and John Branch, who shepherded this along for many years,”</w:t>
      </w:r>
      <w:r w:rsidRPr="00234739">
        <w:rPr>
          <w:rFonts w:asciiTheme="minorHAnsi" w:hAnsiTheme="minorHAnsi"/>
          <w:color w:val="000000" w:themeColor="text1"/>
          <w:sz w:val="22"/>
          <w:szCs w:val="22"/>
        </w:rPr>
        <w:t xml:space="preserve"> commented EGC Chair Frank Weary. “Their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vision and persistence are driven by what is best for CLCWA customers. Their creation of the Conservation </w:t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Easement  with</w:t>
      </w:r>
      <w:proofErr w:type="gramEnd"/>
      <w:r>
        <w:rPr>
          <w:rFonts w:asciiTheme="minorHAnsi" w:hAnsiTheme="minorHAnsi"/>
          <w:color w:val="000000" w:themeColor="text1"/>
          <w:sz w:val="22"/>
          <w:szCs w:val="22"/>
        </w:rPr>
        <w:t xml:space="preserve"> Galveston Bay Foundation to protect and preserve the public green space in perpetuity is a remarkable milestone for the Clear Lake community</w:t>
      </w:r>
      <w:r w:rsidRPr="00234739">
        <w:rPr>
          <w:rFonts w:asciiTheme="minorHAnsi" w:hAnsiTheme="minorHAnsi"/>
          <w:color w:val="000000" w:themeColor="text1"/>
          <w:sz w:val="22"/>
          <w:szCs w:val="22"/>
        </w:rPr>
        <w:t xml:space="preserve">.” </w:t>
      </w:r>
    </w:p>
    <w:p w14:paraId="684FAD9C" w14:textId="77777777" w:rsidR="004832A8" w:rsidRDefault="004832A8" w:rsidP="004832A8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3D31802" w14:textId="0CE8C5B8" w:rsidR="007D6AAE" w:rsidRDefault="004832A8" w:rsidP="004832A8">
      <w:pPr>
        <w:rPr>
          <w:rFonts w:asciiTheme="minorHAnsi" w:hAnsiTheme="minorHAnsi"/>
          <w:sz w:val="22"/>
          <w:szCs w:val="22"/>
        </w:rPr>
      </w:pPr>
      <w:r w:rsidRPr="00E90E77">
        <w:rPr>
          <w:rFonts w:asciiTheme="minorHAnsi" w:hAnsiTheme="minorHAnsi"/>
          <w:sz w:val="22"/>
          <w:szCs w:val="22"/>
        </w:rPr>
        <w:t xml:space="preserve"> </w:t>
      </w:r>
      <w:r w:rsidR="007D6AAE" w:rsidRPr="00E90E77">
        <w:rPr>
          <w:rFonts w:asciiTheme="minorHAnsi" w:hAnsiTheme="minorHAnsi"/>
          <w:sz w:val="22"/>
          <w:szCs w:val="22"/>
        </w:rPr>
        <w:t>“</w:t>
      </w:r>
      <w:r w:rsidR="007D6AAE">
        <w:rPr>
          <w:rFonts w:asciiTheme="minorHAnsi" w:hAnsiTheme="minorHAnsi"/>
          <w:sz w:val="22"/>
          <w:szCs w:val="22"/>
        </w:rPr>
        <w:t xml:space="preserve">We have </w:t>
      </w:r>
      <w:r w:rsidR="007D6AAE" w:rsidRPr="00E90E77">
        <w:rPr>
          <w:rFonts w:asciiTheme="minorHAnsi" w:hAnsiTheme="minorHAnsi"/>
          <w:sz w:val="22"/>
          <w:szCs w:val="22"/>
        </w:rPr>
        <w:t xml:space="preserve">been honored to work with the Clear Lake City Water Authority to establish Exploration Green. </w:t>
      </w:r>
      <w:r w:rsidR="007D6AAE">
        <w:rPr>
          <w:rFonts w:asciiTheme="minorHAnsi" w:hAnsiTheme="minorHAnsi"/>
          <w:sz w:val="22"/>
          <w:szCs w:val="22"/>
        </w:rPr>
        <w:t>It</w:t>
      </w:r>
      <w:r w:rsidR="007D6AAE" w:rsidRPr="00E90E77">
        <w:rPr>
          <w:rFonts w:asciiTheme="minorHAnsi" w:hAnsiTheme="minorHAnsi"/>
          <w:sz w:val="22"/>
          <w:szCs w:val="22"/>
        </w:rPr>
        <w:t xml:space="preserve"> is one of the most innovative projects we have been associated with,” </w:t>
      </w:r>
      <w:r w:rsidR="007D6AAE">
        <w:rPr>
          <w:rFonts w:asciiTheme="minorHAnsi" w:hAnsiTheme="minorHAnsi"/>
          <w:sz w:val="22"/>
          <w:szCs w:val="22"/>
        </w:rPr>
        <w:t xml:space="preserve">commented </w:t>
      </w:r>
      <w:r w:rsidR="007D6AAE" w:rsidRPr="00E90E77">
        <w:rPr>
          <w:rFonts w:asciiTheme="minorHAnsi" w:hAnsiTheme="minorHAnsi"/>
          <w:sz w:val="22"/>
          <w:szCs w:val="22"/>
        </w:rPr>
        <w:t>John Jacob of the Texas A&amp;M Texas Coastal Watershed Program</w:t>
      </w:r>
      <w:r w:rsidR="007D6AAE">
        <w:rPr>
          <w:rFonts w:asciiTheme="minorHAnsi" w:hAnsiTheme="minorHAnsi"/>
          <w:sz w:val="22"/>
          <w:szCs w:val="22"/>
        </w:rPr>
        <w:t xml:space="preserve"> (</w:t>
      </w:r>
      <w:r w:rsidR="007D6AAE" w:rsidRPr="00E90E77">
        <w:rPr>
          <w:rFonts w:asciiTheme="minorHAnsi" w:hAnsiTheme="minorHAnsi"/>
          <w:sz w:val="22"/>
          <w:szCs w:val="22"/>
        </w:rPr>
        <w:t>Texas Sea Grant and Texas AgriLife</w:t>
      </w:r>
      <w:r w:rsidR="007D6AAE">
        <w:rPr>
          <w:rFonts w:asciiTheme="minorHAnsi" w:hAnsiTheme="minorHAnsi"/>
          <w:sz w:val="22"/>
          <w:szCs w:val="22"/>
        </w:rPr>
        <w:t>)</w:t>
      </w:r>
      <w:r w:rsidR="007D6AAE" w:rsidRPr="00E90E77">
        <w:rPr>
          <w:rFonts w:asciiTheme="minorHAnsi" w:hAnsiTheme="minorHAnsi"/>
          <w:sz w:val="22"/>
          <w:szCs w:val="22"/>
        </w:rPr>
        <w:t>. “</w:t>
      </w:r>
      <w:r w:rsidR="007D6AAE">
        <w:rPr>
          <w:rFonts w:asciiTheme="minorHAnsi" w:hAnsiTheme="minorHAnsi"/>
          <w:sz w:val="22"/>
          <w:szCs w:val="22"/>
        </w:rPr>
        <w:t>From the start the</w:t>
      </w:r>
      <w:r w:rsidR="007D6AAE" w:rsidRPr="00E90E77">
        <w:rPr>
          <w:rFonts w:asciiTheme="minorHAnsi" w:hAnsiTheme="minorHAnsi"/>
          <w:sz w:val="22"/>
          <w:szCs w:val="22"/>
        </w:rPr>
        <w:t xml:space="preserve"> CLCWA </w:t>
      </w:r>
      <w:r w:rsidR="007D6AAE">
        <w:rPr>
          <w:rFonts w:asciiTheme="minorHAnsi" w:hAnsiTheme="minorHAnsi"/>
          <w:sz w:val="22"/>
          <w:szCs w:val="22"/>
        </w:rPr>
        <w:t>worked on</w:t>
      </w:r>
      <w:r w:rsidR="007D6AAE" w:rsidRPr="00E90E77">
        <w:rPr>
          <w:rFonts w:asciiTheme="minorHAnsi" w:hAnsiTheme="minorHAnsi"/>
          <w:sz w:val="22"/>
          <w:szCs w:val="22"/>
        </w:rPr>
        <w:t xml:space="preserve"> a vision of a multi</w:t>
      </w:r>
      <w:r w:rsidR="007D6AAE">
        <w:rPr>
          <w:rFonts w:asciiTheme="minorHAnsi" w:hAnsiTheme="minorHAnsi"/>
          <w:sz w:val="22"/>
          <w:szCs w:val="22"/>
        </w:rPr>
        <w:t>-</w:t>
      </w:r>
      <w:r w:rsidR="007D6AAE" w:rsidRPr="00E90E77">
        <w:rPr>
          <w:rFonts w:asciiTheme="minorHAnsi" w:hAnsiTheme="minorHAnsi"/>
          <w:sz w:val="22"/>
          <w:szCs w:val="22"/>
        </w:rPr>
        <w:t xml:space="preserve">purpose detention project </w:t>
      </w:r>
      <w:r w:rsidR="007D6AAE">
        <w:rPr>
          <w:rFonts w:asciiTheme="minorHAnsi" w:hAnsiTheme="minorHAnsi"/>
          <w:sz w:val="22"/>
          <w:szCs w:val="22"/>
        </w:rPr>
        <w:t>based on loca</w:t>
      </w:r>
      <w:r w:rsidR="00BE1115">
        <w:rPr>
          <w:rFonts w:asciiTheme="minorHAnsi" w:hAnsiTheme="minorHAnsi"/>
          <w:sz w:val="22"/>
          <w:szCs w:val="22"/>
        </w:rPr>
        <w:t>l</w:t>
      </w:r>
      <w:r w:rsidR="007D6AAE">
        <w:rPr>
          <w:rFonts w:asciiTheme="minorHAnsi" w:hAnsiTheme="minorHAnsi"/>
          <w:sz w:val="22"/>
          <w:szCs w:val="22"/>
        </w:rPr>
        <w:t xml:space="preserve"> community </w:t>
      </w:r>
      <w:r w:rsidR="007D6AAE">
        <w:rPr>
          <w:rFonts w:asciiTheme="minorHAnsi" w:hAnsiTheme="minorHAnsi"/>
          <w:sz w:val="22"/>
          <w:szCs w:val="22"/>
        </w:rPr>
        <w:t>interests</w:t>
      </w:r>
      <w:r w:rsidR="007D6AAE" w:rsidRPr="00E90E77">
        <w:rPr>
          <w:rFonts w:asciiTheme="minorHAnsi" w:hAnsiTheme="minorHAnsi"/>
          <w:sz w:val="22"/>
          <w:szCs w:val="22"/>
        </w:rPr>
        <w:t xml:space="preserve">. The </w:t>
      </w:r>
      <w:r w:rsidR="007D6AAE">
        <w:rPr>
          <w:rFonts w:asciiTheme="minorHAnsi" w:hAnsiTheme="minorHAnsi"/>
          <w:sz w:val="22"/>
          <w:szCs w:val="22"/>
        </w:rPr>
        <w:t>Water Authority</w:t>
      </w:r>
      <w:r w:rsidR="007D6AAE" w:rsidRPr="00E90E77">
        <w:rPr>
          <w:rFonts w:asciiTheme="minorHAnsi" w:hAnsiTheme="minorHAnsi"/>
          <w:sz w:val="22"/>
          <w:szCs w:val="22"/>
        </w:rPr>
        <w:t xml:space="preserve"> is an incredibly responsive and engaged unit of local government.”</w:t>
      </w:r>
    </w:p>
    <w:p w14:paraId="544CBF3F" w14:textId="77777777" w:rsidR="007D6AAE" w:rsidRPr="00E90E77" w:rsidRDefault="007D6AAE" w:rsidP="007D6AAE">
      <w:pPr>
        <w:rPr>
          <w:rFonts w:asciiTheme="minorHAnsi" w:hAnsiTheme="minorHAnsi"/>
          <w:sz w:val="22"/>
          <w:szCs w:val="22"/>
        </w:rPr>
      </w:pPr>
    </w:p>
    <w:p w14:paraId="4BB06EFF" w14:textId="53C41BD4" w:rsidR="007C27BB" w:rsidRPr="00234739" w:rsidRDefault="00515E20" w:rsidP="00E90021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34739">
        <w:rPr>
          <w:rFonts w:asciiTheme="minorHAnsi" w:hAnsiTheme="minorHAnsi"/>
          <w:sz w:val="22"/>
          <w:szCs w:val="22"/>
        </w:rPr>
        <w:t>"</w:t>
      </w:r>
      <w:r w:rsidR="00CD4620" w:rsidRPr="00234739">
        <w:rPr>
          <w:rFonts w:asciiTheme="minorHAnsi" w:hAnsiTheme="minorHAnsi"/>
          <w:sz w:val="22"/>
          <w:szCs w:val="22"/>
        </w:rPr>
        <w:t>In my twenty-five years of non-profit work</w:t>
      </w:r>
      <w:r w:rsidR="00047D30">
        <w:rPr>
          <w:rFonts w:asciiTheme="minorHAnsi" w:hAnsiTheme="minorHAnsi"/>
          <w:sz w:val="22"/>
          <w:szCs w:val="22"/>
        </w:rPr>
        <w:t>,</w:t>
      </w:r>
      <w:r w:rsidR="00DF4132">
        <w:rPr>
          <w:rFonts w:asciiTheme="minorHAnsi" w:hAnsiTheme="minorHAnsi"/>
          <w:sz w:val="22"/>
          <w:szCs w:val="22"/>
        </w:rPr>
        <w:t xml:space="preserve"> rarely</w:t>
      </w:r>
      <w:r w:rsidR="00CD4620" w:rsidRPr="00234739">
        <w:rPr>
          <w:rFonts w:asciiTheme="minorHAnsi" w:hAnsiTheme="minorHAnsi"/>
          <w:sz w:val="22"/>
          <w:szCs w:val="22"/>
        </w:rPr>
        <w:t xml:space="preserve"> if ever, have I seen an agency work so diligently on a </w:t>
      </w:r>
      <w:r w:rsidR="007D6AAE">
        <w:rPr>
          <w:rFonts w:asciiTheme="minorHAnsi" w:hAnsiTheme="minorHAnsi"/>
          <w:sz w:val="22"/>
          <w:szCs w:val="22"/>
        </w:rPr>
        <w:t xml:space="preserve">challenging public </w:t>
      </w:r>
      <w:r w:rsidR="00CD4620" w:rsidRPr="00234739">
        <w:rPr>
          <w:rFonts w:asciiTheme="minorHAnsi" w:hAnsiTheme="minorHAnsi"/>
          <w:sz w:val="22"/>
          <w:szCs w:val="22"/>
        </w:rPr>
        <w:t xml:space="preserve">project. This is a prime example of </w:t>
      </w:r>
      <w:r w:rsidR="00DF4132">
        <w:rPr>
          <w:rFonts w:asciiTheme="minorHAnsi" w:hAnsiTheme="minorHAnsi"/>
          <w:sz w:val="22"/>
          <w:szCs w:val="22"/>
        </w:rPr>
        <w:t>the true</w:t>
      </w:r>
      <w:r w:rsidR="00CD4620" w:rsidRPr="00234739">
        <w:rPr>
          <w:rFonts w:asciiTheme="minorHAnsi" w:hAnsiTheme="minorHAnsi"/>
          <w:sz w:val="22"/>
          <w:szCs w:val="22"/>
        </w:rPr>
        <w:t xml:space="preserve"> function</w:t>
      </w:r>
      <w:r w:rsidR="00DF4132">
        <w:rPr>
          <w:rFonts w:asciiTheme="minorHAnsi" w:hAnsiTheme="minorHAnsi"/>
          <w:sz w:val="22"/>
          <w:szCs w:val="22"/>
        </w:rPr>
        <w:t>s</w:t>
      </w:r>
      <w:r w:rsidR="00CD4620" w:rsidRPr="00234739">
        <w:rPr>
          <w:rFonts w:asciiTheme="minorHAnsi" w:hAnsiTheme="minorHAnsi"/>
          <w:sz w:val="22"/>
          <w:szCs w:val="22"/>
        </w:rPr>
        <w:t xml:space="preserve"> of this type of agency: increasing </w:t>
      </w:r>
      <w:r w:rsidR="007D6AAE">
        <w:rPr>
          <w:rFonts w:asciiTheme="minorHAnsi" w:hAnsiTheme="minorHAnsi"/>
          <w:sz w:val="22"/>
          <w:szCs w:val="22"/>
        </w:rPr>
        <w:t>effectiveness</w:t>
      </w:r>
      <w:r w:rsidR="00CD4620" w:rsidRPr="00234739">
        <w:rPr>
          <w:rFonts w:asciiTheme="minorHAnsi" w:hAnsiTheme="minorHAnsi"/>
          <w:sz w:val="22"/>
          <w:szCs w:val="22"/>
        </w:rPr>
        <w:t xml:space="preserve"> while reducing long-term costs with the added benefit of recreational and environmental sustainability</w:t>
      </w:r>
      <w:r w:rsidR="0011613A" w:rsidRPr="00234739">
        <w:rPr>
          <w:rFonts w:asciiTheme="minorHAnsi" w:hAnsiTheme="minorHAnsi"/>
          <w:sz w:val="22"/>
          <w:szCs w:val="22"/>
        </w:rPr>
        <w:t>,</w:t>
      </w:r>
      <w:r w:rsidRPr="00234739">
        <w:rPr>
          <w:rFonts w:asciiTheme="minorHAnsi" w:hAnsiTheme="minorHAnsi"/>
          <w:sz w:val="22"/>
          <w:szCs w:val="22"/>
        </w:rPr>
        <w:t>"</w:t>
      </w:r>
      <w:r w:rsidR="0011613A" w:rsidRPr="00234739">
        <w:rPr>
          <w:rFonts w:asciiTheme="minorHAnsi" w:hAnsiTheme="minorHAnsi"/>
          <w:sz w:val="22"/>
          <w:szCs w:val="22"/>
        </w:rPr>
        <w:t xml:space="preserve"> said Barry Ward, executive director of Trees </w:t>
      </w:r>
      <w:proofErr w:type="gramStart"/>
      <w:r w:rsidR="0011613A" w:rsidRPr="00234739">
        <w:rPr>
          <w:rFonts w:asciiTheme="minorHAnsi" w:hAnsiTheme="minorHAnsi"/>
          <w:sz w:val="22"/>
          <w:szCs w:val="22"/>
        </w:rPr>
        <w:t>For</w:t>
      </w:r>
      <w:proofErr w:type="gramEnd"/>
      <w:r w:rsidR="0011613A" w:rsidRPr="00234739">
        <w:rPr>
          <w:rFonts w:asciiTheme="minorHAnsi" w:hAnsiTheme="minorHAnsi"/>
          <w:sz w:val="22"/>
          <w:szCs w:val="22"/>
        </w:rPr>
        <w:t xml:space="preserve"> Houston.</w:t>
      </w:r>
    </w:p>
    <w:p w14:paraId="54DDB1E3" w14:textId="77777777" w:rsidR="00DB43E8" w:rsidRDefault="00DB43E8" w:rsidP="00237476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E19DF7D" w14:textId="202765F9" w:rsidR="00BE1115" w:rsidRDefault="00BE1115" w:rsidP="00237476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See the Galveston Bay Foundation website recognizing the historic Conservation agreement between GBF and CLCWA at </w:t>
      </w:r>
      <w:hyperlink r:id="rId9" w:history="1">
        <w:r w:rsidRPr="00D55706">
          <w:rPr>
            <w:rStyle w:val="Hyperlink"/>
            <w:rFonts w:asciiTheme="minorHAnsi" w:hAnsiTheme="minorHAnsi"/>
            <w:sz w:val="22"/>
            <w:szCs w:val="22"/>
          </w:rPr>
          <w:t>http://galvbay.org/news/explorationgreen/</w:t>
        </w:r>
      </w:hyperlink>
      <w:r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>
        <w:rPr>
          <w:rFonts w:ascii="PT Sans" w:hAnsi="PT Sans"/>
          <w:color w:val="333333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</w:rPr>
        <w:t>GBF</w:t>
      </w:r>
      <w:r w:rsidRPr="00BE1115">
        <w:rPr>
          <w:rFonts w:asciiTheme="minorHAnsi" w:hAnsiTheme="minorHAnsi"/>
          <w:color w:val="333333"/>
          <w:sz w:val="22"/>
          <w:szCs w:val="22"/>
        </w:rPr>
        <w:t xml:space="preserve"> notes that b</w:t>
      </w:r>
      <w:r w:rsidRPr="00BE1115">
        <w:rPr>
          <w:rFonts w:asciiTheme="minorHAnsi" w:hAnsiTheme="minorHAnsi"/>
          <w:color w:val="333333"/>
          <w:sz w:val="22"/>
          <w:szCs w:val="22"/>
        </w:rPr>
        <w:t xml:space="preserve">oth Exploration Green and the Clear Lake City Water Authority were awarded the 2013 Planning Award by the Houston-Galveston Area Council this past January. </w:t>
      </w:r>
      <w:r w:rsidRPr="00BE1115">
        <w:rPr>
          <w:rFonts w:asciiTheme="minorHAnsi" w:hAnsiTheme="minorHAnsi"/>
          <w:color w:val="333333"/>
          <w:sz w:val="22"/>
          <w:szCs w:val="22"/>
        </w:rPr>
        <w:t>The</w:t>
      </w:r>
      <w:r w:rsidRPr="00BE1115">
        <w:rPr>
          <w:rFonts w:asciiTheme="minorHAnsi" w:hAnsiTheme="minorHAnsi"/>
          <w:color w:val="333333"/>
          <w:sz w:val="22"/>
          <w:szCs w:val="22"/>
        </w:rPr>
        <w:t xml:space="preserve"> H</w:t>
      </w:r>
      <w:r>
        <w:rPr>
          <w:rFonts w:asciiTheme="minorHAnsi" w:hAnsiTheme="minorHAnsi"/>
          <w:color w:val="333333"/>
          <w:sz w:val="22"/>
          <w:szCs w:val="22"/>
        </w:rPr>
        <w:t>GA</w:t>
      </w:r>
      <w:r w:rsidRPr="00BE1115">
        <w:rPr>
          <w:rFonts w:asciiTheme="minorHAnsi" w:hAnsiTheme="minorHAnsi"/>
          <w:color w:val="333333"/>
          <w:sz w:val="22"/>
          <w:szCs w:val="22"/>
        </w:rPr>
        <w:t xml:space="preserve">C ranked the conservation project </w:t>
      </w:r>
      <w:r>
        <w:rPr>
          <w:rFonts w:asciiTheme="minorHAnsi" w:hAnsiTheme="minorHAnsi"/>
          <w:color w:val="333333"/>
          <w:sz w:val="22"/>
          <w:szCs w:val="22"/>
        </w:rPr>
        <w:t>at the top</w:t>
      </w:r>
      <w:r w:rsidRPr="00BE1115"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</w:rPr>
        <w:t xml:space="preserve">of </w:t>
      </w:r>
      <w:r w:rsidRPr="00BE1115">
        <w:rPr>
          <w:rFonts w:asciiTheme="minorHAnsi" w:hAnsiTheme="minorHAnsi"/>
          <w:color w:val="333333"/>
          <w:sz w:val="22"/>
          <w:szCs w:val="22"/>
        </w:rPr>
        <w:t xml:space="preserve">nine public space development plans in the Houston region. </w:t>
      </w:r>
    </w:p>
    <w:p w14:paraId="16ED8F8B" w14:textId="77777777" w:rsidR="00BE1115" w:rsidRDefault="00BE1115" w:rsidP="00237476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7FE3A83" w14:textId="719FB4F2" w:rsidR="00DB43E8" w:rsidRPr="00234739" w:rsidRDefault="00DB43E8" w:rsidP="00237476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In celebration of the conservation agreement, </w:t>
      </w:r>
      <w:r w:rsidR="00047D30">
        <w:rPr>
          <w:rFonts w:asciiTheme="minorHAnsi" w:hAnsiTheme="minorHAnsi"/>
          <w:color w:val="000000" w:themeColor="text1"/>
          <w:sz w:val="22"/>
          <w:szCs w:val="22"/>
        </w:rPr>
        <w:t>the partner organizations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recommend that residents throughout the Bay Area visit Exploration Green</w:t>
      </w:r>
      <w:r w:rsidR="00047D30">
        <w:rPr>
          <w:rFonts w:asciiTheme="minorHAnsi" w:hAnsiTheme="minorHAnsi"/>
          <w:color w:val="000000" w:themeColor="text1"/>
          <w:sz w:val="22"/>
          <w:szCs w:val="22"/>
        </w:rPr>
        <w:t xml:space="preserve"> explore the entire area. It is</w:t>
      </w:r>
      <w:r w:rsidR="000A3837">
        <w:rPr>
          <w:rFonts w:asciiTheme="minorHAnsi" w:hAnsiTheme="minorHAnsi"/>
          <w:color w:val="000000" w:themeColor="text1"/>
          <w:sz w:val="22"/>
          <w:szCs w:val="22"/>
        </w:rPr>
        <w:t xml:space="preserve"> easily found by doing a Google Map search for the local zip code, 77062, and looking for the V-shaped property near the Clear Lake Recreation Center.</w:t>
      </w:r>
    </w:p>
    <w:p w14:paraId="6DECA02F" w14:textId="77777777" w:rsidR="00365691" w:rsidRPr="00234739" w:rsidRDefault="00365691" w:rsidP="0038798C">
      <w:pPr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1C59FAEE" w14:textId="2B3C6CBC" w:rsidR="00365691" w:rsidRPr="00234739" w:rsidRDefault="00365691" w:rsidP="00365691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234739">
        <w:rPr>
          <w:rFonts w:asciiTheme="minorHAnsi" w:hAnsiTheme="minorHAnsi" w:cs="Helvetica"/>
          <w:color w:val="000000" w:themeColor="text1"/>
          <w:sz w:val="22"/>
          <w:szCs w:val="22"/>
        </w:rPr>
        <w:t>Exploration Green Conservancy, recently confirmed non-profit 501(c)(3) status by the IRS</w:t>
      </w:r>
      <w:r w:rsidR="0032376D" w:rsidRPr="00234739">
        <w:rPr>
          <w:rFonts w:asciiTheme="minorHAnsi" w:hAnsiTheme="minorHAnsi" w:cs="Helvetica"/>
          <w:color w:val="000000" w:themeColor="text1"/>
          <w:sz w:val="22"/>
          <w:szCs w:val="22"/>
        </w:rPr>
        <w:t>,</w:t>
      </w:r>
      <w:r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is now accepting </w:t>
      </w:r>
      <w:r w:rsidR="0032376D"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tax deductible </w:t>
      </w:r>
      <w:r w:rsidRPr="00234739">
        <w:rPr>
          <w:rFonts w:asciiTheme="minorHAnsi" w:hAnsiTheme="minorHAnsi" w:cs="Helvetica"/>
          <w:color w:val="000000" w:themeColor="text1"/>
          <w:sz w:val="22"/>
          <w:szCs w:val="22"/>
        </w:rPr>
        <w:t xml:space="preserve">donations for trees, shrubs and grasses; park equipment such as benches, landscaping tools, etc. </w:t>
      </w:r>
      <w:r w:rsidR="00AB418D" w:rsidRPr="00234739">
        <w:rPr>
          <w:rFonts w:asciiTheme="minorHAnsi" w:hAnsiTheme="minorHAnsi"/>
          <w:color w:val="000000" w:themeColor="text1"/>
          <w:sz w:val="22"/>
          <w:szCs w:val="22"/>
        </w:rPr>
        <w:t>For</w:t>
      </w:r>
      <w:r w:rsidRPr="00234739">
        <w:rPr>
          <w:rFonts w:asciiTheme="minorHAnsi" w:hAnsiTheme="minorHAnsi"/>
          <w:color w:val="000000" w:themeColor="text1"/>
          <w:sz w:val="22"/>
          <w:szCs w:val="22"/>
        </w:rPr>
        <w:t xml:space="preserve"> more information about </w:t>
      </w:r>
      <w:r w:rsidR="00AB418D" w:rsidRPr="00234739">
        <w:rPr>
          <w:rFonts w:asciiTheme="minorHAnsi" w:hAnsiTheme="minorHAnsi"/>
          <w:color w:val="000000" w:themeColor="text1"/>
          <w:sz w:val="22"/>
          <w:szCs w:val="22"/>
        </w:rPr>
        <w:t xml:space="preserve">contributing to </w:t>
      </w:r>
      <w:r w:rsidRPr="00234739">
        <w:rPr>
          <w:rFonts w:asciiTheme="minorHAnsi" w:hAnsiTheme="minorHAnsi"/>
          <w:color w:val="000000" w:themeColor="text1"/>
          <w:sz w:val="22"/>
          <w:szCs w:val="22"/>
        </w:rPr>
        <w:t xml:space="preserve">Exploration Green visit </w:t>
      </w:r>
      <w:hyperlink r:id="rId10" w:history="1">
        <w:r w:rsidRPr="00234739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http://www.ExplorationGreen.org</w:t>
        </w:r>
      </w:hyperlink>
      <w:r w:rsidR="00AB418D" w:rsidRPr="00234739">
        <w:rPr>
          <w:rFonts w:asciiTheme="minorHAnsi" w:hAnsiTheme="minorHAnsi"/>
          <w:color w:val="000000" w:themeColor="text1"/>
          <w:sz w:val="22"/>
          <w:szCs w:val="22"/>
        </w:rPr>
        <w:t xml:space="preserve"> and click on “Donate Now.”</w:t>
      </w:r>
    </w:p>
    <w:p w14:paraId="3A6593E2" w14:textId="77777777" w:rsidR="00F27B78" w:rsidRPr="00234739" w:rsidRDefault="00F27B78" w:rsidP="00666133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5E729E1" w14:textId="77777777" w:rsidR="00251C76" w:rsidRDefault="00251C76" w:rsidP="00237476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sectPr w:rsidR="00251C76" w:rsidSect="00D003D9">
      <w:pgSz w:w="12240" w:h="15840"/>
      <w:pgMar w:top="432" w:right="158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D3EDC" w14:textId="77777777" w:rsidR="00BB040D" w:rsidRDefault="00BB040D" w:rsidP="00662F7F">
      <w:r>
        <w:separator/>
      </w:r>
    </w:p>
  </w:endnote>
  <w:endnote w:type="continuationSeparator" w:id="0">
    <w:p w14:paraId="1478C2AC" w14:textId="77777777" w:rsidR="00BB040D" w:rsidRDefault="00BB040D" w:rsidP="0066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0D60B" w14:textId="77777777" w:rsidR="00BB040D" w:rsidRDefault="00BB040D" w:rsidP="00662F7F">
      <w:r>
        <w:separator/>
      </w:r>
    </w:p>
  </w:footnote>
  <w:footnote w:type="continuationSeparator" w:id="0">
    <w:p w14:paraId="092E4967" w14:textId="77777777" w:rsidR="00BB040D" w:rsidRDefault="00BB040D" w:rsidP="0066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338E"/>
    <w:multiLevelType w:val="hybridMultilevel"/>
    <w:tmpl w:val="1F52E0A6"/>
    <w:lvl w:ilvl="0" w:tplc="5AEC6954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58"/>
    <w:rsid w:val="00014655"/>
    <w:rsid w:val="00020D5B"/>
    <w:rsid w:val="00022C28"/>
    <w:rsid w:val="00023B58"/>
    <w:rsid w:val="0002691C"/>
    <w:rsid w:val="00043C48"/>
    <w:rsid w:val="00047D30"/>
    <w:rsid w:val="00054C6B"/>
    <w:rsid w:val="00070428"/>
    <w:rsid w:val="00082709"/>
    <w:rsid w:val="000A3837"/>
    <w:rsid w:val="000B434F"/>
    <w:rsid w:val="000B46DA"/>
    <w:rsid w:val="000B4D46"/>
    <w:rsid w:val="000B5923"/>
    <w:rsid w:val="000C54DB"/>
    <w:rsid w:val="000D2417"/>
    <w:rsid w:val="000D2EBE"/>
    <w:rsid w:val="000E5D62"/>
    <w:rsid w:val="000F102B"/>
    <w:rsid w:val="000F4E3E"/>
    <w:rsid w:val="0011613A"/>
    <w:rsid w:val="00120A6B"/>
    <w:rsid w:val="00142CF6"/>
    <w:rsid w:val="00143A4F"/>
    <w:rsid w:val="00146AC2"/>
    <w:rsid w:val="00171148"/>
    <w:rsid w:val="001858FC"/>
    <w:rsid w:val="001A7FE2"/>
    <w:rsid w:val="001B414B"/>
    <w:rsid w:val="001B4FA2"/>
    <w:rsid w:val="001D652D"/>
    <w:rsid w:val="001D7BC3"/>
    <w:rsid w:val="001E25E0"/>
    <w:rsid w:val="001F17A6"/>
    <w:rsid w:val="0020013F"/>
    <w:rsid w:val="0020126E"/>
    <w:rsid w:val="002160FF"/>
    <w:rsid w:val="00223279"/>
    <w:rsid w:val="00230FE1"/>
    <w:rsid w:val="00234739"/>
    <w:rsid w:val="00234C4C"/>
    <w:rsid w:val="00237476"/>
    <w:rsid w:val="00237E68"/>
    <w:rsid w:val="00242479"/>
    <w:rsid w:val="00251C76"/>
    <w:rsid w:val="00255E9D"/>
    <w:rsid w:val="00260489"/>
    <w:rsid w:val="00262805"/>
    <w:rsid w:val="00281DE6"/>
    <w:rsid w:val="00285514"/>
    <w:rsid w:val="00285B4B"/>
    <w:rsid w:val="00285FF8"/>
    <w:rsid w:val="00287E07"/>
    <w:rsid w:val="00291DAE"/>
    <w:rsid w:val="002A1B05"/>
    <w:rsid w:val="002A5C00"/>
    <w:rsid w:val="002B1787"/>
    <w:rsid w:val="002E3211"/>
    <w:rsid w:val="002F0F17"/>
    <w:rsid w:val="002F1A93"/>
    <w:rsid w:val="002F36FC"/>
    <w:rsid w:val="00302809"/>
    <w:rsid w:val="00304A16"/>
    <w:rsid w:val="00305B9F"/>
    <w:rsid w:val="00320AE4"/>
    <w:rsid w:val="003220C4"/>
    <w:rsid w:val="0032376D"/>
    <w:rsid w:val="0033479B"/>
    <w:rsid w:val="00334EE1"/>
    <w:rsid w:val="00345EBD"/>
    <w:rsid w:val="00347C10"/>
    <w:rsid w:val="003626BB"/>
    <w:rsid w:val="003652F1"/>
    <w:rsid w:val="00365691"/>
    <w:rsid w:val="00374FDA"/>
    <w:rsid w:val="003809F4"/>
    <w:rsid w:val="00380DF9"/>
    <w:rsid w:val="003816FC"/>
    <w:rsid w:val="003837BF"/>
    <w:rsid w:val="0038798C"/>
    <w:rsid w:val="003A3F58"/>
    <w:rsid w:val="003A4DC1"/>
    <w:rsid w:val="003B167F"/>
    <w:rsid w:val="003C5DB5"/>
    <w:rsid w:val="003C5EFD"/>
    <w:rsid w:val="003F2F2B"/>
    <w:rsid w:val="003F6965"/>
    <w:rsid w:val="00400615"/>
    <w:rsid w:val="00401519"/>
    <w:rsid w:val="00420418"/>
    <w:rsid w:val="00426C22"/>
    <w:rsid w:val="00436645"/>
    <w:rsid w:val="004377CB"/>
    <w:rsid w:val="004379B7"/>
    <w:rsid w:val="00437A59"/>
    <w:rsid w:val="00441654"/>
    <w:rsid w:val="00446EB2"/>
    <w:rsid w:val="00450424"/>
    <w:rsid w:val="004505AD"/>
    <w:rsid w:val="0045723D"/>
    <w:rsid w:val="00460037"/>
    <w:rsid w:val="0046236E"/>
    <w:rsid w:val="004738D3"/>
    <w:rsid w:val="0048180E"/>
    <w:rsid w:val="004832A8"/>
    <w:rsid w:val="00487B09"/>
    <w:rsid w:val="004B2B6B"/>
    <w:rsid w:val="004B2FE3"/>
    <w:rsid w:val="004B309C"/>
    <w:rsid w:val="004C3289"/>
    <w:rsid w:val="004D0201"/>
    <w:rsid w:val="004F05F5"/>
    <w:rsid w:val="004F10AD"/>
    <w:rsid w:val="004F192B"/>
    <w:rsid w:val="00505EBC"/>
    <w:rsid w:val="00511AD8"/>
    <w:rsid w:val="005138C7"/>
    <w:rsid w:val="00515E20"/>
    <w:rsid w:val="00523269"/>
    <w:rsid w:val="0052375E"/>
    <w:rsid w:val="00525996"/>
    <w:rsid w:val="00531A8F"/>
    <w:rsid w:val="00534C60"/>
    <w:rsid w:val="00537AA7"/>
    <w:rsid w:val="00540DAC"/>
    <w:rsid w:val="00547AB8"/>
    <w:rsid w:val="00551982"/>
    <w:rsid w:val="0056577F"/>
    <w:rsid w:val="00571BEC"/>
    <w:rsid w:val="00584125"/>
    <w:rsid w:val="00595906"/>
    <w:rsid w:val="005A1696"/>
    <w:rsid w:val="005A5394"/>
    <w:rsid w:val="005C2606"/>
    <w:rsid w:val="005C5E89"/>
    <w:rsid w:val="005D2C4E"/>
    <w:rsid w:val="005D6B73"/>
    <w:rsid w:val="005E5AD8"/>
    <w:rsid w:val="005F75A2"/>
    <w:rsid w:val="00607D7D"/>
    <w:rsid w:val="00612341"/>
    <w:rsid w:val="00613BB6"/>
    <w:rsid w:val="006144D4"/>
    <w:rsid w:val="006257DC"/>
    <w:rsid w:val="006259F2"/>
    <w:rsid w:val="00644AC6"/>
    <w:rsid w:val="00646F83"/>
    <w:rsid w:val="00656267"/>
    <w:rsid w:val="00662F7F"/>
    <w:rsid w:val="00666133"/>
    <w:rsid w:val="006707AE"/>
    <w:rsid w:val="00671D69"/>
    <w:rsid w:val="0068571B"/>
    <w:rsid w:val="00685C5D"/>
    <w:rsid w:val="00696FD5"/>
    <w:rsid w:val="006A0622"/>
    <w:rsid w:val="006A7178"/>
    <w:rsid w:val="006B1251"/>
    <w:rsid w:val="006B5CFC"/>
    <w:rsid w:val="006C5E60"/>
    <w:rsid w:val="006C73AF"/>
    <w:rsid w:val="006D53C9"/>
    <w:rsid w:val="006E44D9"/>
    <w:rsid w:val="006E69B7"/>
    <w:rsid w:val="006E7AC3"/>
    <w:rsid w:val="006F10A2"/>
    <w:rsid w:val="006F361B"/>
    <w:rsid w:val="00702E0C"/>
    <w:rsid w:val="00706E2E"/>
    <w:rsid w:val="0071066B"/>
    <w:rsid w:val="00711061"/>
    <w:rsid w:val="007207F6"/>
    <w:rsid w:val="00722E91"/>
    <w:rsid w:val="007236C8"/>
    <w:rsid w:val="0073414C"/>
    <w:rsid w:val="00744334"/>
    <w:rsid w:val="007463E6"/>
    <w:rsid w:val="007573C2"/>
    <w:rsid w:val="00762A27"/>
    <w:rsid w:val="007759FD"/>
    <w:rsid w:val="00786FB1"/>
    <w:rsid w:val="00790C21"/>
    <w:rsid w:val="007A1FDB"/>
    <w:rsid w:val="007A31A7"/>
    <w:rsid w:val="007A51B6"/>
    <w:rsid w:val="007B021F"/>
    <w:rsid w:val="007C27BB"/>
    <w:rsid w:val="007C3E64"/>
    <w:rsid w:val="007D25F1"/>
    <w:rsid w:val="007D6AAE"/>
    <w:rsid w:val="007E10CA"/>
    <w:rsid w:val="007E4993"/>
    <w:rsid w:val="007E63F6"/>
    <w:rsid w:val="007F0332"/>
    <w:rsid w:val="007F7E1B"/>
    <w:rsid w:val="0080199F"/>
    <w:rsid w:val="0081177F"/>
    <w:rsid w:val="00811B9D"/>
    <w:rsid w:val="0082449A"/>
    <w:rsid w:val="0082451E"/>
    <w:rsid w:val="0082781E"/>
    <w:rsid w:val="0083416E"/>
    <w:rsid w:val="00840398"/>
    <w:rsid w:val="00841A62"/>
    <w:rsid w:val="00850E53"/>
    <w:rsid w:val="00861F23"/>
    <w:rsid w:val="00872482"/>
    <w:rsid w:val="008856AF"/>
    <w:rsid w:val="008B4D68"/>
    <w:rsid w:val="008B5159"/>
    <w:rsid w:val="008D0C61"/>
    <w:rsid w:val="008D23BA"/>
    <w:rsid w:val="008D7031"/>
    <w:rsid w:val="008E096E"/>
    <w:rsid w:val="008F178C"/>
    <w:rsid w:val="008F557C"/>
    <w:rsid w:val="00901F9F"/>
    <w:rsid w:val="00914446"/>
    <w:rsid w:val="009228C2"/>
    <w:rsid w:val="009236ED"/>
    <w:rsid w:val="00924468"/>
    <w:rsid w:val="00933D82"/>
    <w:rsid w:val="00946D84"/>
    <w:rsid w:val="00950FE2"/>
    <w:rsid w:val="009514C9"/>
    <w:rsid w:val="009520F4"/>
    <w:rsid w:val="00965923"/>
    <w:rsid w:val="00967A24"/>
    <w:rsid w:val="0098240B"/>
    <w:rsid w:val="00995F8B"/>
    <w:rsid w:val="009B1742"/>
    <w:rsid w:val="009B329A"/>
    <w:rsid w:val="009C3FD5"/>
    <w:rsid w:val="009C4DCD"/>
    <w:rsid w:val="009C5EEE"/>
    <w:rsid w:val="009D0E2A"/>
    <w:rsid w:val="009D104C"/>
    <w:rsid w:val="009D7DEF"/>
    <w:rsid w:val="009E2FAA"/>
    <w:rsid w:val="009F2670"/>
    <w:rsid w:val="009F2CBA"/>
    <w:rsid w:val="00A02EA2"/>
    <w:rsid w:val="00A07020"/>
    <w:rsid w:val="00A26AA9"/>
    <w:rsid w:val="00A36D5A"/>
    <w:rsid w:val="00A53E65"/>
    <w:rsid w:val="00A564AF"/>
    <w:rsid w:val="00A61B48"/>
    <w:rsid w:val="00A643AC"/>
    <w:rsid w:val="00A674FB"/>
    <w:rsid w:val="00A76FC6"/>
    <w:rsid w:val="00A82CC2"/>
    <w:rsid w:val="00A8462B"/>
    <w:rsid w:val="00A959FC"/>
    <w:rsid w:val="00AA2A9E"/>
    <w:rsid w:val="00AB06E5"/>
    <w:rsid w:val="00AB418D"/>
    <w:rsid w:val="00AB6379"/>
    <w:rsid w:val="00AB6CF1"/>
    <w:rsid w:val="00AC035A"/>
    <w:rsid w:val="00AC2146"/>
    <w:rsid w:val="00AC23A2"/>
    <w:rsid w:val="00AE36EF"/>
    <w:rsid w:val="00AF0728"/>
    <w:rsid w:val="00AF2258"/>
    <w:rsid w:val="00B1185E"/>
    <w:rsid w:val="00B118AE"/>
    <w:rsid w:val="00B23B01"/>
    <w:rsid w:val="00B24640"/>
    <w:rsid w:val="00B42C36"/>
    <w:rsid w:val="00B64E04"/>
    <w:rsid w:val="00B65BF7"/>
    <w:rsid w:val="00B672E4"/>
    <w:rsid w:val="00B83C66"/>
    <w:rsid w:val="00B83E1A"/>
    <w:rsid w:val="00B86314"/>
    <w:rsid w:val="00B86B7C"/>
    <w:rsid w:val="00B872D9"/>
    <w:rsid w:val="00B92A75"/>
    <w:rsid w:val="00B94F3E"/>
    <w:rsid w:val="00B95E25"/>
    <w:rsid w:val="00BA4143"/>
    <w:rsid w:val="00BB040D"/>
    <w:rsid w:val="00BB051A"/>
    <w:rsid w:val="00BC2325"/>
    <w:rsid w:val="00BE0667"/>
    <w:rsid w:val="00BE1115"/>
    <w:rsid w:val="00BE1979"/>
    <w:rsid w:val="00BF4938"/>
    <w:rsid w:val="00C003D7"/>
    <w:rsid w:val="00C01226"/>
    <w:rsid w:val="00C210AF"/>
    <w:rsid w:val="00C41015"/>
    <w:rsid w:val="00C44276"/>
    <w:rsid w:val="00C5080E"/>
    <w:rsid w:val="00C57C3F"/>
    <w:rsid w:val="00C63FE7"/>
    <w:rsid w:val="00C83139"/>
    <w:rsid w:val="00C8737F"/>
    <w:rsid w:val="00C95A4F"/>
    <w:rsid w:val="00CB06C6"/>
    <w:rsid w:val="00CD4620"/>
    <w:rsid w:val="00CF539B"/>
    <w:rsid w:val="00D003D9"/>
    <w:rsid w:val="00D004F2"/>
    <w:rsid w:val="00D0133F"/>
    <w:rsid w:val="00D04B3E"/>
    <w:rsid w:val="00D276EC"/>
    <w:rsid w:val="00D437BD"/>
    <w:rsid w:val="00D4435C"/>
    <w:rsid w:val="00D47F7D"/>
    <w:rsid w:val="00D51463"/>
    <w:rsid w:val="00D5169E"/>
    <w:rsid w:val="00D63799"/>
    <w:rsid w:val="00D70882"/>
    <w:rsid w:val="00D71BDE"/>
    <w:rsid w:val="00D7472B"/>
    <w:rsid w:val="00D87154"/>
    <w:rsid w:val="00D878B0"/>
    <w:rsid w:val="00D87F59"/>
    <w:rsid w:val="00D95339"/>
    <w:rsid w:val="00D96255"/>
    <w:rsid w:val="00DB0C61"/>
    <w:rsid w:val="00DB43E8"/>
    <w:rsid w:val="00DB7727"/>
    <w:rsid w:val="00DD175D"/>
    <w:rsid w:val="00DE00A6"/>
    <w:rsid w:val="00DE250A"/>
    <w:rsid w:val="00DE435E"/>
    <w:rsid w:val="00DF12B7"/>
    <w:rsid w:val="00DF4132"/>
    <w:rsid w:val="00E03F85"/>
    <w:rsid w:val="00E26034"/>
    <w:rsid w:val="00E27AD6"/>
    <w:rsid w:val="00E318B7"/>
    <w:rsid w:val="00E6168B"/>
    <w:rsid w:val="00E62107"/>
    <w:rsid w:val="00E765EE"/>
    <w:rsid w:val="00E77C8A"/>
    <w:rsid w:val="00E80335"/>
    <w:rsid w:val="00E90021"/>
    <w:rsid w:val="00E90E77"/>
    <w:rsid w:val="00EA2087"/>
    <w:rsid w:val="00EB0572"/>
    <w:rsid w:val="00EB2AD1"/>
    <w:rsid w:val="00EB42D7"/>
    <w:rsid w:val="00EC541F"/>
    <w:rsid w:val="00ED008E"/>
    <w:rsid w:val="00ED6AFF"/>
    <w:rsid w:val="00EE0DA1"/>
    <w:rsid w:val="00EE1C22"/>
    <w:rsid w:val="00EF192E"/>
    <w:rsid w:val="00EF78AF"/>
    <w:rsid w:val="00F064FC"/>
    <w:rsid w:val="00F06520"/>
    <w:rsid w:val="00F1019F"/>
    <w:rsid w:val="00F27B78"/>
    <w:rsid w:val="00F30F2B"/>
    <w:rsid w:val="00F41C17"/>
    <w:rsid w:val="00F45191"/>
    <w:rsid w:val="00F5518A"/>
    <w:rsid w:val="00F76214"/>
    <w:rsid w:val="00FA2833"/>
    <w:rsid w:val="00FA43DE"/>
    <w:rsid w:val="00FB12D8"/>
    <w:rsid w:val="00FB6BB0"/>
    <w:rsid w:val="00FC473B"/>
    <w:rsid w:val="00FD092A"/>
    <w:rsid w:val="00FD269D"/>
    <w:rsid w:val="00FE1E0D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08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7C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E0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0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2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F7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2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F7F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C8737F"/>
  </w:style>
  <w:style w:type="character" w:customStyle="1" w:styleId="DateChar">
    <w:name w:val="Date Char"/>
    <w:basedOn w:val="DefaultParagraphFont"/>
    <w:link w:val="Date"/>
    <w:uiPriority w:val="99"/>
    <w:semiHidden/>
    <w:rsid w:val="00204F7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133F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6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2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82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821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xplorationGre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lvbay.org/news/explorationgre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0E49-6EF4-4855-8ACE-93991912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Exploration Green Conservancy</vt:lpstr>
    </vt:vector>
  </TitlesOfParts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Green Conservancy</dc:title>
  <dc:creator/>
  <cp:lastModifiedBy/>
  <cp:revision>1</cp:revision>
  <cp:lastPrinted>2013-08-17T20:48:00Z</cp:lastPrinted>
  <dcterms:created xsi:type="dcterms:W3CDTF">2014-10-13T18:31:00Z</dcterms:created>
  <dcterms:modified xsi:type="dcterms:W3CDTF">2014-10-19T16:22:00Z</dcterms:modified>
</cp:coreProperties>
</file>